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E956A" w14:textId="67E9E024" w:rsidR="002D4A99" w:rsidRPr="005030FD" w:rsidRDefault="002D4A99" w:rsidP="005030FD">
      <w:pPr>
        <w:jc w:val="center"/>
        <w:rPr>
          <w:rFonts w:ascii="Times New Roman" w:hAnsi="Times New Roman" w:cs="Times New Roman"/>
          <w:b/>
        </w:rPr>
      </w:pPr>
      <w:r w:rsidRPr="005030FD">
        <w:rPr>
          <w:rFonts w:ascii="Times New Roman" w:hAnsi="Times New Roman" w:cs="Times New Roman"/>
          <w:b/>
        </w:rPr>
        <w:t>Meaning of the Degree</w:t>
      </w:r>
    </w:p>
    <w:p w14:paraId="18A40FB9" w14:textId="259D21B1" w:rsidR="002D4A99" w:rsidRPr="005030FD" w:rsidRDefault="002D4A99" w:rsidP="002D4A99">
      <w:pPr>
        <w:ind w:firstLine="720"/>
        <w:rPr>
          <w:rFonts w:ascii="Times New Roman" w:hAnsi="Times New Roman" w:cs="Times New Roman"/>
        </w:rPr>
      </w:pPr>
      <w:r w:rsidRPr="005030FD">
        <w:rPr>
          <w:rFonts w:ascii="Times New Roman" w:hAnsi="Times New Roman" w:cs="Times New Roman"/>
          <w:color w:val="000000" w:themeColor="text1"/>
        </w:rPr>
        <w:t xml:space="preserve">The Spanish BA </w:t>
      </w:r>
      <w:r w:rsidRPr="005030FD">
        <w:rPr>
          <w:rFonts w:ascii="Times New Roman" w:hAnsi="Times New Roman" w:cs="Times New Roman"/>
        </w:rPr>
        <w:t xml:space="preserve">prepares students for leadership and professions in a changing multicultural and </w:t>
      </w:r>
      <w:proofErr w:type="spellStart"/>
      <w:r w:rsidRPr="005030FD">
        <w:rPr>
          <w:rFonts w:ascii="Times New Roman" w:hAnsi="Times New Roman" w:cs="Times New Roman"/>
        </w:rPr>
        <w:t>plurilingual</w:t>
      </w:r>
      <w:proofErr w:type="spellEnd"/>
      <w:r w:rsidRPr="005030FD">
        <w:rPr>
          <w:rFonts w:ascii="Times New Roman" w:hAnsi="Times New Roman" w:cs="Times New Roman"/>
        </w:rPr>
        <w:t xml:space="preserve"> world through a curriculum that enhances students’ ability to read analytically, think critically, and write clearly in dealing with literature, linguistics and culture of the Spanish-speaking world. </w:t>
      </w:r>
      <w:r w:rsidRPr="005030FD">
        <w:rPr>
          <w:rFonts w:ascii="Times New Roman" w:hAnsi="Times New Roman" w:cs="Times New Roman"/>
          <w:color w:val="000000" w:themeColor="text1"/>
        </w:rPr>
        <w:t xml:space="preserve">The CPP Spanish degree is distinct in that it offers courses </w:t>
      </w:r>
      <w:r w:rsidRPr="005030FD">
        <w:rPr>
          <w:rFonts w:ascii="Times New Roman" w:hAnsi="Times New Roman" w:cs="Times New Roman"/>
        </w:rPr>
        <w:t xml:space="preserve">specially designed to address the linguistic needs of both Spanish heritage speakers and non-Spanish heritage speakers, and in that it offers a strong linguistics component and a cross-linguistic approach that set this program apart from other Spanish programs that are almost exclusively literature-oriented. The specific balance of courses in linguistics, literature and civilization, as well as service-learning and undergraduate research opportunities, prepares students well for an array of Spanish language-related professions as well as postgraduate coursework.   </w:t>
      </w:r>
    </w:p>
    <w:p w14:paraId="68FBF329" w14:textId="6939FC8F" w:rsidR="002D4A99" w:rsidRPr="005030FD" w:rsidRDefault="002D4A99" w:rsidP="002D4A99">
      <w:pPr>
        <w:ind w:firstLine="720"/>
        <w:rPr>
          <w:rFonts w:ascii="Times New Roman" w:hAnsi="Times New Roman" w:cs="Times New Roman"/>
        </w:rPr>
      </w:pPr>
      <w:r w:rsidRPr="005030FD">
        <w:rPr>
          <w:rFonts w:ascii="Times New Roman" w:hAnsi="Times New Roman" w:cs="Times New Roman"/>
        </w:rPr>
        <w:t xml:space="preserve">In alignment with the university’s </w:t>
      </w:r>
      <w:r w:rsidRPr="00B96C11">
        <w:rPr>
          <w:rFonts w:ascii="Times New Roman" w:hAnsi="Times New Roman" w:cs="Times New Roman"/>
        </w:rPr>
        <w:t>learn-by-doing</w:t>
      </w:r>
      <w:r w:rsidRPr="005030FD">
        <w:rPr>
          <w:rFonts w:ascii="Times New Roman" w:hAnsi="Times New Roman" w:cs="Times New Roman"/>
        </w:rPr>
        <w:t xml:space="preserve"> philosophy, we offer service-learning courses in which students have the opportunity to teach children in bilingual programs or interpret Spanish-English in a legal setting. </w:t>
      </w:r>
      <w:r w:rsidR="00B96C11">
        <w:rPr>
          <w:rFonts w:ascii="Times New Roman" w:hAnsi="Times New Roman" w:cs="Times New Roman"/>
        </w:rPr>
        <w:t>I</w:t>
      </w:r>
      <w:r w:rsidR="00B96C11" w:rsidRPr="005030FD">
        <w:rPr>
          <w:rFonts w:ascii="Times New Roman" w:hAnsi="Times New Roman" w:cs="Times New Roman"/>
        </w:rPr>
        <w:t xml:space="preserve">n line with the </w:t>
      </w:r>
      <w:r w:rsidR="00B96C11" w:rsidRPr="00B96C11">
        <w:rPr>
          <w:rFonts w:ascii="Times New Roman" w:hAnsi="Times New Roman" w:cs="Times New Roman"/>
        </w:rPr>
        <w:t>Teacher-Scholar</w:t>
      </w:r>
      <w:r w:rsidR="00B96C11" w:rsidRPr="005030FD">
        <w:rPr>
          <w:rFonts w:ascii="Times New Roman" w:hAnsi="Times New Roman" w:cs="Times New Roman"/>
          <w:i/>
        </w:rPr>
        <w:t xml:space="preserve"> </w:t>
      </w:r>
      <w:r w:rsidR="00B96C11" w:rsidRPr="005030FD">
        <w:rPr>
          <w:rFonts w:ascii="Times New Roman" w:hAnsi="Times New Roman" w:cs="Times New Roman"/>
        </w:rPr>
        <w:t>philosophy</w:t>
      </w:r>
      <w:r w:rsidR="00B96C11">
        <w:rPr>
          <w:rFonts w:ascii="Times New Roman" w:hAnsi="Times New Roman" w:cs="Times New Roman"/>
        </w:rPr>
        <w:t xml:space="preserve">, </w:t>
      </w:r>
      <w:r w:rsidRPr="005030FD">
        <w:rPr>
          <w:rFonts w:ascii="Times New Roman" w:hAnsi="Times New Roman" w:cs="Times New Roman"/>
        </w:rPr>
        <w:t>students collaborate with faculty in re</w:t>
      </w:r>
      <w:r w:rsidR="00B96C11">
        <w:rPr>
          <w:rFonts w:ascii="Times New Roman" w:hAnsi="Times New Roman" w:cs="Times New Roman"/>
        </w:rPr>
        <w:t>search and pedagogical projects</w:t>
      </w:r>
      <w:r w:rsidRPr="005030FD">
        <w:rPr>
          <w:rFonts w:ascii="Times New Roman" w:hAnsi="Times New Roman" w:cs="Times New Roman"/>
        </w:rPr>
        <w:t xml:space="preserve">. Finally, our program strongly </w:t>
      </w:r>
      <w:r w:rsidRPr="00B96C11">
        <w:rPr>
          <w:rFonts w:ascii="Times New Roman" w:hAnsi="Times New Roman" w:cs="Times New Roman"/>
        </w:rPr>
        <w:t>embraces diversity</w:t>
      </w:r>
      <w:r w:rsidRPr="005030FD">
        <w:rPr>
          <w:rFonts w:ascii="Times New Roman" w:hAnsi="Times New Roman" w:cs="Times New Roman"/>
        </w:rPr>
        <w:t xml:space="preserve"> through understanding and appreciation of linguistic and cultural diversity. </w:t>
      </w:r>
    </w:p>
    <w:p w14:paraId="24AC6CA0" w14:textId="0A1FE2CB" w:rsidR="002D4A99" w:rsidRPr="005030FD" w:rsidRDefault="002D4A99" w:rsidP="002D4A99">
      <w:pPr>
        <w:ind w:firstLine="720"/>
        <w:rPr>
          <w:rFonts w:ascii="Times New Roman" w:hAnsi="Times New Roman" w:cs="Times New Roman"/>
        </w:rPr>
      </w:pPr>
      <w:r w:rsidRPr="005030FD">
        <w:rPr>
          <w:rFonts w:ascii="Times New Roman" w:hAnsi="Times New Roman" w:cs="Times New Roman"/>
        </w:rPr>
        <w:t xml:space="preserve">Our students arrive with an intermediate level of Spanish language proficiency, from their Spanish-speaking heritage and/or from the study of the language in a school setting, and many of them have passed the AP exam in high school, as our 2016 exit survey indicates. Our program allows students to increase this intermediate level of language proficiency to an advanced-high level in all for skills (based on the ACTFL proficiency guidelines), and prepares them with the metalinguistic skills, cross-linguistic understanding, and cross-cultural awareness necessary to pursue a career in translation and interpretation. </w:t>
      </w:r>
      <w:r w:rsidR="00E246A8" w:rsidRPr="005030FD">
        <w:rPr>
          <w:rFonts w:ascii="Times New Roman" w:hAnsi="Times New Roman" w:cs="Times New Roman"/>
        </w:rPr>
        <w:t>Also, o</w:t>
      </w:r>
      <w:r w:rsidRPr="005030FD">
        <w:rPr>
          <w:rFonts w:ascii="Times New Roman" w:hAnsi="Times New Roman" w:cs="Times New Roman"/>
        </w:rPr>
        <w:t>ur program is accredited by the California Commission for Teacher Credentialing (CCTC), and our graduates are ready to begin the Spanish Teaching Credential Program upon graduation.</w:t>
      </w:r>
      <w:r w:rsidR="00E246A8" w:rsidRPr="005030FD">
        <w:rPr>
          <w:rFonts w:ascii="Times New Roman" w:hAnsi="Times New Roman" w:cs="Times New Roman"/>
        </w:rPr>
        <w:t xml:space="preserve"> </w:t>
      </w:r>
      <w:r w:rsidRPr="005030FD">
        <w:rPr>
          <w:rFonts w:ascii="Times New Roman" w:hAnsi="Times New Roman" w:cs="Times New Roman"/>
        </w:rPr>
        <w:t xml:space="preserve">The </w:t>
      </w:r>
      <w:r w:rsidR="00E246A8" w:rsidRPr="005030FD">
        <w:rPr>
          <w:rFonts w:ascii="Times New Roman" w:hAnsi="Times New Roman" w:cs="Times New Roman"/>
        </w:rPr>
        <w:t xml:space="preserve">program’s </w:t>
      </w:r>
      <w:r w:rsidRPr="005030FD">
        <w:rPr>
          <w:rFonts w:ascii="Times New Roman" w:hAnsi="Times New Roman" w:cs="Times New Roman"/>
        </w:rPr>
        <w:t xml:space="preserve">academic rigor </w:t>
      </w:r>
      <w:r w:rsidR="00E246A8" w:rsidRPr="005030FD">
        <w:rPr>
          <w:rFonts w:ascii="Times New Roman" w:hAnsi="Times New Roman" w:cs="Times New Roman"/>
        </w:rPr>
        <w:t xml:space="preserve">also </w:t>
      </w:r>
      <w:r w:rsidRPr="005030FD">
        <w:rPr>
          <w:rFonts w:ascii="Times New Roman" w:hAnsi="Times New Roman" w:cs="Times New Roman"/>
        </w:rPr>
        <w:t>allows students to pursue a postgraduate degree. Indeed, many of our graduates work in either interpretation or teaching fields, and some of them pursue a MA and/or PhD degree:</w:t>
      </w:r>
    </w:p>
    <w:p w14:paraId="05CFEBDA" w14:textId="77777777" w:rsidR="002D4A99" w:rsidRPr="005030FD" w:rsidRDefault="00AA166E" w:rsidP="002D4A99">
      <w:pPr>
        <w:rPr>
          <w:rFonts w:ascii="Times New Roman" w:hAnsi="Times New Roman" w:cs="Times New Roman"/>
        </w:rPr>
      </w:pPr>
      <w:hyperlink r:id="rId9" w:history="1">
        <w:r w:rsidR="002D4A99" w:rsidRPr="005030FD">
          <w:rPr>
            <w:rStyle w:val="Hyperlink"/>
            <w:rFonts w:ascii="Times New Roman" w:hAnsi="Times New Roman" w:cs="Times New Roman"/>
          </w:rPr>
          <w:t>https://www.cpp.edu/~class/english-foreign-languages/students/alumni.shtml</w:t>
        </w:r>
      </w:hyperlink>
    </w:p>
    <w:p w14:paraId="1497C6BE" w14:textId="77777777" w:rsidR="002D4A99" w:rsidRPr="005030FD" w:rsidRDefault="002D4A99" w:rsidP="00E246A8">
      <w:pPr>
        <w:ind w:firstLine="720"/>
        <w:rPr>
          <w:rFonts w:ascii="Times New Roman" w:hAnsi="Times New Roman" w:cs="Times New Roman"/>
        </w:rPr>
      </w:pPr>
      <w:r w:rsidRPr="005030FD">
        <w:rPr>
          <w:rFonts w:ascii="Times New Roman" w:hAnsi="Times New Roman" w:cs="Times New Roman"/>
        </w:rPr>
        <w:t xml:space="preserve">Our curriculum balances language proficiency, linguistics, literature, and culture courses. It also includes service-learning courses that prepare students to function effectively in different cultural and professional contexts, and many courses require observation in professional settings.  Most of our courses include a research component, and we offer many opportunities for students to attend or present their research at conferences. The required English linguistics support courses enhance cross-linguistic (Spanish-English) and metalinguistic understanding.  </w:t>
      </w:r>
    </w:p>
    <w:p w14:paraId="069C81B2" w14:textId="77777777" w:rsidR="002D4A99" w:rsidRPr="005030FD" w:rsidRDefault="002D4A99" w:rsidP="00E246A8">
      <w:pPr>
        <w:rPr>
          <w:rFonts w:ascii="Times New Roman" w:hAnsi="Times New Roman" w:cs="Times New Roman"/>
        </w:rPr>
      </w:pPr>
      <w:r w:rsidRPr="005030FD">
        <w:rPr>
          <w:rFonts w:ascii="Times New Roman" w:hAnsi="Times New Roman" w:cs="Times New Roman"/>
        </w:rPr>
        <w:t xml:space="preserve">https://www.cpp.edu/~class/english-foreign-languages/students/service-learning.shtml </w:t>
      </w:r>
    </w:p>
    <w:p w14:paraId="3D28387F" w14:textId="77777777" w:rsidR="002D4A99" w:rsidRPr="005030FD" w:rsidRDefault="00AA166E" w:rsidP="00E246A8">
      <w:pPr>
        <w:rPr>
          <w:rFonts w:ascii="Times New Roman" w:hAnsi="Times New Roman" w:cs="Times New Roman"/>
          <w:color w:val="000000" w:themeColor="text1"/>
        </w:rPr>
      </w:pPr>
      <w:hyperlink r:id="rId10" w:history="1">
        <w:r w:rsidR="002D4A99" w:rsidRPr="005030FD">
          <w:rPr>
            <w:rStyle w:val="Hyperlink"/>
            <w:rFonts w:ascii="Times New Roman" w:hAnsi="Times New Roman" w:cs="Times New Roman"/>
          </w:rPr>
          <w:t>https://www.cpp.edu/~class/english-foreign-languages/news/SCCUR-2015.shtml</w:t>
        </w:r>
      </w:hyperlink>
    </w:p>
    <w:p w14:paraId="4B0C27C5" w14:textId="77777777" w:rsidR="002D4A99" w:rsidRPr="005030FD" w:rsidRDefault="00AA166E" w:rsidP="00E246A8">
      <w:pPr>
        <w:rPr>
          <w:rFonts w:ascii="Times New Roman" w:hAnsi="Times New Roman" w:cs="Times New Roman"/>
        </w:rPr>
      </w:pPr>
      <w:hyperlink r:id="rId11" w:history="1">
        <w:r w:rsidR="002D4A99" w:rsidRPr="005030FD">
          <w:rPr>
            <w:rStyle w:val="Hyperlink"/>
            <w:rFonts w:ascii="Times New Roman" w:hAnsi="Times New Roman" w:cs="Times New Roman"/>
          </w:rPr>
          <w:t>https://sites.google.com/site/aatspsocal/Home/cal-poly-pomona-april-2016</w:t>
        </w:r>
      </w:hyperlink>
    </w:p>
    <w:p w14:paraId="060D7DA4" w14:textId="77777777" w:rsidR="00E246A8" w:rsidRPr="005030FD" w:rsidRDefault="00E246A8" w:rsidP="00E246A8">
      <w:pPr>
        <w:rPr>
          <w:rFonts w:ascii="Times New Roman" w:hAnsi="Times New Roman" w:cs="Times New Roman"/>
          <w:b/>
        </w:rPr>
      </w:pPr>
    </w:p>
    <w:p w14:paraId="2C5E7CEB" w14:textId="77777777" w:rsidR="002D4A99" w:rsidRPr="005030FD" w:rsidRDefault="002D4A99" w:rsidP="0023432D">
      <w:pPr>
        <w:jc w:val="center"/>
        <w:rPr>
          <w:rFonts w:ascii="Times New Roman" w:hAnsi="Times New Roman" w:cs="Times New Roman"/>
          <w:b/>
        </w:rPr>
      </w:pPr>
      <w:r w:rsidRPr="005030FD">
        <w:rPr>
          <w:rFonts w:ascii="Times New Roman" w:hAnsi="Times New Roman" w:cs="Times New Roman"/>
          <w:b/>
        </w:rPr>
        <w:t>Quality of the Degree</w:t>
      </w:r>
    </w:p>
    <w:p w14:paraId="3A538C36" w14:textId="766BD8A1" w:rsidR="002D4A99" w:rsidRPr="005030FD" w:rsidRDefault="002D4A99" w:rsidP="00E246A8">
      <w:pPr>
        <w:pStyle w:val="BodyText2"/>
        <w:widowControl w:val="0"/>
        <w:ind w:firstLine="720"/>
        <w:rPr>
          <w:szCs w:val="24"/>
        </w:rPr>
      </w:pPr>
      <w:r w:rsidRPr="005030FD">
        <w:rPr>
          <w:color w:val="000000" w:themeColor="text1"/>
          <w:szCs w:val="24"/>
        </w:rPr>
        <w:t xml:space="preserve">The Spanish degree prepares students for a variety of professional settings. At the end of the program, students must be able </w:t>
      </w:r>
      <w:r w:rsidRPr="005030FD">
        <w:rPr>
          <w:szCs w:val="24"/>
        </w:rPr>
        <w:t>to communicate orally and in writing in Spanish in a variety of topics and sett</w:t>
      </w:r>
      <w:r w:rsidR="00E246A8" w:rsidRPr="005030FD">
        <w:rPr>
          <w:szCs w:val="24"/>
        </w:rPr>
        <w:t>ings and for different purposes</w:t>
      </w:r>
      <w:r w:rsidRPr="005030FD">
        <w:rPr>
          <w:szCs w:val="24"/>
        </w:rPr>
        <w:t xml:space="preserve"> at the ACTFL advanced-high proficiency level.  Students must also be able to read critically, interpret analytically, and write coherently about literatures produced in Spanish and about fundamental principles of the Spanish language. Finally, students must demonstrate deep understanding and appreciation of the cultural values of Spanish-speaking peoples.  </w:t>
      </w:r>
    </w:p>
    <w:p w14:paraId="3236CB22" w14:textId="670D6A59" w:rsidR="002D4A99" w:rsidRPr="005030FD" w:rsidRDefault="002D4A99" w:rsidP="00E246A8">
      <w:pPr>
        <w:pStyle w:val="BodyText2"/>
        <w:widowControl w:val="0"/>
        <w:ind w:firstLine="720"/>
        <w:rPr>
          <w:szCs w:val="24"/>
        </w:rPr>
      </w:pPr>
      <w:r w:rsidRPr="005030FD">
        <w:rPr>
          <w:rFonts w:eastAsiaTheme="minorEastAsia"/>
          <w:szCs w:val="24"/>
        </w:rPr>
        <w:lastRenderedPageBreak/>
        <w:t>SPN intermediate and advanced language proficiency courses increase students’ language oral and written proficiency while introducing them to the use of metalinguistic too</w:t>
      </w:r>
      <w:r w:rsidR="00B96C11">
        <w:rPr>
          <w:rFonts w:eastAsiaTheme="minorEastAsia"/>
          <w:szCs w:val="24"/>
        </w:rPr>
        <w:t xml:space="preserve">ls to approach language study. </w:t>
      </w:r>
      <w:r w:rsidRPr="005030FD">
        <w:rPr>
          <w:szCs w:val="24"/>
        </w:rPr>
        <w:t xml:space="preserve">Students are required to take the two intermediate language courses before taking 300-400 level courses, so that language proficiency is not an obstacle to succeed in </w:t>
      </w:r>
      <w:r w:rsidR="00E246A8" w:rsidRPr="005030FD">
        <w:rPr>
          <w:szCs w:val="24"/>
        </w:rPr>
        <w:t xml:space="preserve">more content-oriented courses. </w:t>
      </w:r>
      <w:r w:rsidRPr="005030FD">
        <w:rPr>
          <w:rFonts w:eastAsiaTheme="minorEastAsia"/>
          <w:szCs w:val="24"/>
        </w:rPr>
        <w:t>S</w:t>
      </w:r>
      <w:r w:rsidR="00E246A8" w:rsidRPr="005030FD">
        <w:rPr>
          <w:rFonts w:eastAsiaTheme="minorEastAsia"/>
          <w:szCs w:val="24"/>
        </w:rPr>
        <w:t>PN</w:t>
      </w:r>
      <w:r w:rsidRPr="005030FD">
        <w:rPr>
          <w:rFonts w:eastAsiaTheme="minorEastAsia"/>
          <w:szCs w:val="24"/>
        </w:rPr>
        <w:t xml:space="preserve"> linguistics courses increase students’ understanding of language as a system, its internal variation, </w:t>
      </w:r>
      <w:r w:rsidR="00B96C11">
        <w:rPr>
          <w:rFonts w:eastAsiaTheme="minorEastAsia"/>
          <w:szCs w:val="24"/>
        </w:rPr>
        <w:t>and</w:t>
      </w:r>
      <w:r w:rsidRPr="005030FD">
        <w:rPr>
          <w:rFonts w:eastAsiaTheme="minorEastAsia"/>
          <w:szCs w:val="24"/>
        </w:rPr>
        <w:t xml:space="preserve"> the role of language i</w:t>
      </w:r>
      <w:r w:rsidR="00B96C11">
        <w:rPr>
          <w:rFonts w:eastAsiaTheme="minorEastAsia"/>
          <w:szCs w:val="24"/>
        </w:rPr>
        <w:t xml:space="preserve">n society and the professions. </w:t>
      </w:r>
      <w:r w:rsidRPr="005030FD">
        <w:rPr>
          <w:szCs w:val="24"/>
        </w:rPr>
        <w:t xml:space="preserve">The applied courses (SPN 401, 451 and 458) are recommended to be taken after courses </w:t>
      </w:r>
      <w:r w:rsidR="00B96C11">
        <w:rPr>
          <w:szCs w:val="24"/>
        </w:rPr>
        <w:t>covering</w:t>
      </w:r>
      <w:r w:rsidRPr="005030FD">
        <w:rPr>
          <w:szCs w:val="24"/>
        </w:rPr>
        <w:t xml:space="preserve"> the </w:t>
      </w:r>
      <w:r w:rsidR="00B96C11">
        <w:rPr>
          <w:szCs w:val="24"/>
        </w:rPr>
        <w:t>foundational</w:t>
      </w:r>
      <w:r w:rsidRPr="005030FD">
        <w:rPr>
          <w:szCs w:val="24"/>
        </w:rPr>
        <w:t xml:space="preserve"> linguistics areas (SPN 370, 371, and 450). </w:t>
      </w:r>
      <w:r w:rsidRPr="005030FD">
        <w:rPr>
          <w:rFonts w:eastAsiaTheme="minorEastAsia"/>
          <w:szCs w:val="24"/>
        </w:rPr>
        <w:t xml:space="preserve">SPN literature and civilization courses increase students understanding of the culture of the Spanish-speaking world through art and architecture, literature, societal perspectives, history, etc. The two </w:t>
      </w:r>
      <w:r w:rsidRPr="005030FD">
        <w:rPr>
          <w:szCs w:val="24"/>
        </w:rPr>
        <w:t>survey literature courses (at 300-level) are recommended before the more them</w:t>
      </w:r>
      <w:r w:rsidR="00E246A8" w:rsidRPr="005030FD">
        <w:rPr>
          <w:szCs w:val="24"/>
        </w:rPr>
        <w:t>e</w:t>
      </w:r>
      <w:r w:rsidRPr="005030FD">
        <w:rPr>
          <w:szCs w:val="24"/>
        </w:rPr>
        <w:t xml:space="preserve">- or genre-oriented 400-level courses. </w:t>
      </w:r>
      <w:r w:rsidRPr="005030FD">
        <w:rPr>
          <w:rFonts w:eastAsiaTheme="minorEastAsia"/>
          <w:szCs w:val="24"/>
        </w:rPr>
        <w:t>English support courses enhance students</w:t>
      </w:r>
      <w:r w:rsidR="00E246A8" w:rsidRPr="005030FD">
        <w:rPr>
          <w:rFonts w:eastAsiaTheme="minorEastAsia"/>
          <w:szCs w:val="24"/>
        </w:rPr>
        <w:t>’</w:t>
      </w:r>
      <w:r w:rsidRPr="005030FD">
        <w:rPr>
          <w:rFonts w:eastAsiaTheme="minorEastAsia"/>
          <w:szCs w:val="24"/>
        </w:rPr>
        <w:t xml:space="preserve"> metalinguistic knowledge as well as their ability to make cross-linguistic connections between English and Spanish</w:t>
      </w:r>
      <w:r w:rsidR="00E246A8" w:rsidRPr="005030FD">
        <w:rPr>
          <w:rFonts w:eastAsiaTheme="minorEastAsia"/>
          <w:szCs w:val="24"/>
        </w:rPr>
        <w:t>.</w:t>
      </w:r>
      <w:r w:rsidRPr="005030FD">
        <w:rPr>
          <w:rFonts w:eastAsiaTheme="minorEastAsia"/>
          <w:szCs w:val="24"/>
        </w:rPr>
        <w:t xml:space="preserve"> Finally, two culminating experience courses allow students to integrate all competencies and demonstrate their mastery in the form of a research project (Capstone) and in professional settings (service-learning).   </w:t>
      </w:r>
    </w:p>
    <w:p w14:paraId="7B1BB72E" w14:textId="119FAE93" w:rsidR="002D4A99" w:rsidRPr="005030FD" w:rsidRDefault="002D4A99" w:rsidP="00E246A8">
      <w:pPr>
        <w:pStyle w:val="BodyText2"/>
        <w:widowControl w:val="0"/>
        <w:ind w:firstLine="720"/>
        <w:rPr>
          <w:szCs w:val="24"/>
        </w:rPr>
      </w:pPr>
      <w:r w:rsidRPr="005030FD">
        <w:rPr>
          <w:szCs w:val="24"/>
        </w:rPr>
        <w:t xml:space="preserve">In addition to the specific skills targeted in each curriculum component, every course in the curriculum provides opportunities to increase oral, </w:t>
      </w:r>
      <w:r w:rsidR="00E246A8" w:rsidRPr="005030FD">
        <w:rPr>
          <w:szCs w:val="24"/>
        </w:rPr>
        <w:t xml:space="preserve">listening, </w:t>
      </w:r>
      <w:r w:rsidRPr="005030FD">
        <w:rPr>
          <w:szCs w:val="24"/>
        </w:rPr>
        <w:t>reading and writing proficiency through the study of linguistics, culture, and literature, as well as to strengthen students’ understanding and appreciation of the values of Spanish-speaking peoples through the study of the political, religious, social, economic, and educational systems and institutions in the Spanish-speaking nations and the analysis of social, ethnic and linguistic diversity, the explicitly drawn connections with other disciplines, and the engagement with multilingual communities.</w:t>
      </w:r>
    </w:p>
    <w:p w14:paraId="1B51759A" w14:textId="1F1958FC" w:rsidR="00E246A8" w:rsidRPr="005030FD" w:rsidRDefault="002D4A99" w:rsidP="005030FD">
      <w:pPr>
        <w:pStyle w:val="BodyText2"/>
        <w:widowControl w:val="0"/>
        <w:ind w:firstLine="720"/>
        <w:rPr>
          <w:szCs w:val="24"/>
        </w:rPr>
      </w:pPr>
      <w:r w:rsidRPr="005030FD">
        <w:rPr>
          <w:szCs w:val="24"/>
        </w:rPr>
        <w:t>The course sequence requirements and recommendations, as well the specific role of each component in the overall program, are given during the annual mandatory advising session, as well as in the “Survival Tips for Spanish majors”</w:t>
      </w:r>
      <w:r w:rsidR="00E246A8" w:rsidRPr="005030FD">
        <w:rPr>
          <w:szCs w:val="24"/>
        </w:rPr>
        <w:t xml:space="preserve">. In addition, students are encouraged to see an advisor, who directs the student through an individualized path. </w:t>
      </w:r>
    </w:p>
    <w:p w14:paraId="0EF3F09A" w14:textId="77777777" w:rsidR="002D4A99" w:rsidRPr="005030FD" w:rsidRDefault="002D4A99" w:rsidP="002D4A99">
      <w:pPr>
        <w:pStyle w:val="BodyText2"/>
        <w:widowControl w:val="0"/>
        <w:rPr>
          <w:szCs w:val="24"/>
        </w:rPr>
      </w:pPr>
      <w:r w:rsidRPr="005030FD">
        <w:rPr>
          <w:szCs w:val="24"/>
        </w:rPr>
        <w:t>http://www.cpp.edu/~class/english-foreign-languages/docs/curriculum-and-roadmaps/AY15-16-Survival-Tips-Spanish-Majors.pdf</w:t>
      </w:r>
    </w:p>
    <w:p w14:paraId="2F20DC18" w14:textId="3751782B" w:rsidR="002D4A99" w:rsidRPr="005030FD" w:rsidRDefault="002D4A99" w:rsidP="002D4A99">
      <w:pPr>
        <w:pStyle w:val="BodyText2"/>
        <w:widowControl w:val="0"/>
        <w:tabs>
          <w:tab w:val="left" w:pos="720"/>
          <w:tab w:val="left" w:pos="1080"/>
        </w:tabs>
        <w:rPr>
          <w:szCs w:val="24"/>
        </w:rPr>
      </w:pPr>
      <w:r w:rsidRPr="005030FD">
        <w:rPr>
          <w:szCs w:val="24"/>
        </w:rPr>
        <w:t>For more specific details about the learning outcomes students can expect to achieve</w:t>
      </w:r>
      <w:r w:rsidR="00166FB5">
        <w:rPr>
          <w:szCs w:val="24"/>
        </w:rPr>
        <w:t xml:space="preserve"> and the sequence of courses through which they achieve them</w:t>
      </w:r>
      <w:bookmarkStart w:id="0" w:name="_GoBack"/>
      <w:bookmarkEnd w:id="0"/>
      <w:r w:rsidRPr="005030FD">
        <w:rPr>
          <w:szCs w:val="24"/>
        </w:rPr>
        <w:t xml:space="preserve">, go </w:t>
      </w:r>
      <w:r w:rsidR="00166FB5">
        <w:rPr>
          <w:szCs w:val="24"/>
        </w:rPr>
        <w:t>to the following links</w:t>
      </w:r>
      <w:r w:rsidRPr="005030FD">
        <w:rPr>
          <w:szCs w:val="24"/>
        </w:rPr>
        <w:t xml:space="preserve">: </w:t>
      </w:r>
      <w:hyperlink r:id="rId12" w:history="1">
        <w:r w:rsidRPr="005030FD">
          <w:rPr>
            <w:rStyle w:val="Hyperlink"/>
            <w:szCs w:val="24"/>
          </w:rPr>
          <w:t>https://www.cpp.edu/~class/english-foreign-languages/about/spanish-learning-outcomes.shtml</w:t>
        </w:r>
      </w:hyperlink>
    </w:p>
    <w:p w14:paraId="2A776C54" w14:textId="685AFC29" w:rsidR="00E246A8" w:rsidRPr="005030FD" w:rsidRDefault="00166FB5" w:rsidP="002D4A99">
      <w:pPr>
        <w:rPr>
          <w:rFonts w:ascii="Times New Roman" w:hAnsi="Times New Roman" w:cs="Times New Roman"/>
          <w:b/>
        </w:rPr>
      </w:pPr>
      <w:hyperlink r:id="rId13" w:history="1">
        <w:r w:rsidRPr="004600D7">
          <w:rPr>
            <w:rStyle w:val="Hyperlink"/>
            <w:sz w:val="20"/>
            <w:szCs w:val="20"/>
          </w:rPr>
          <w:t>https://www.cpp.edu/~class/english-foreign-lan</w:t>
        </w:r>
        <w:r w:rsidRPr="004600D7">
          <w:rPr>
            <w:rStyle w:val="Hyperlink"/>
            <w:sz w:val="20"/>
            <w:szCs w:val="20"/>
          </w:rPr>
          <w:t>g</w:t>
        </w:r>
        <w:r w:rsidRPr="004600D7">
          <w:rPr>
            <w:rStyle w:val="Hyperlink"/>
            <w:sz w:val="20"/>
            <w:szCs w:val="20"/>
          </w:rPr>
          <w:t>uages/docs/curriculum-and-roadmaps/spanish-curriculum-map.pdf</w:t>
        </w:r>
      </w:hyperlink>
    </w:p>
    <w:p w14:paraId="1AA84DC7" w14:textId="77777777" w:rsidR="002D4A99" w:rsidRPr="005030FD" w:rsidRDefault="002D4A99" w:rsidP="0023432D">
      <w:pPr>
        <w:jc w:val="center"/>
        <w:rPr>
          <w:rFonts w:ascii="Times New Roman" w:hAnsi="Times New Roman" w:cs="Times New Roman"/>
          <w:b/>
        </w:rPr>
      </w:pPr>
      <w:r w:rsidRPr="005030FD">
        <w:rPr>
          <w:rFonts w:ascii="Times New Roman" w:hAnsi="Times New Roman" w:cs="Times New Roman"/>
          <w:b/>
        </w:rPr>
        <w:t>Integrity of the Degree</w:t>
      </w:r>
    </w:p>
    <w:p w14:paraId="1BCAD1AB" w14:textId="44A25C2D" w:rsidR="00E246A8" w:rsidRPr="005030FD" w:rsidRDefault="002D4A99" w:rsidP="005030FD">
      <w:pPr>
        <w:ind w:firstLine="720"/>
        <w:rPr>
          <w:rFonts w:ascii="Times New Roman" w:hAnsi="Times New Roman" w:cs="Times New Roman"/>
        </w:rPr>
      </w:pPr>
      <w:r w:rsidRPr="005030FD">
        <w:rPr>
          <w:rFonts w:ascii="Times New Roman" w:hAnsi="Times New Roman" w:cs="Times New Roman"/>
        </w:rPr>
        <w:t xml:space="preserve">The department assesses its progress in reaching its goals at two distinct points: core coursework and the senior capstone. We assess students’ progress within our </w:t>
      </w:r>
      <w:r w:rsidR="00E246A8" w:rsidRPr="005030FD">
        <w:rPr>
          <w:rFonts w:ascii="Times New Roman" w:hAnsi="Times New Roman" w:cs="Times New Roman"/>
        </w:rPr>
        <w:t xml:space="preserve">core </w:t>
      </w:r>
      <w:r w:rsidRPr="005030FD">
        <w:rPr>
          <w:rFonts w:ascii="Times New Roman" w:hAnsi="Times New Roman" w:cs="Times New Roman"/>
        </w:rPr>
        <w:t>courses, through questions embedded in our tests and written and oral assignments</w:t>
      </w:r>
      <w:r w:rsidR="00B96C11">
        <w:rPr>
          <w:rFonts w:ascii="Times New Roman" w:hAnsi="Times New Roman" w:cs="Times New Roman"/>
        </w:rPr>
        <w:t xml:space="preserve"> and/or</w:t>
      </w:r>
      <w:r w:rsidRPr="005030FD">
        <w:rPr>
          <w:rFonts w:ascii="Times New Roman" w:hAnsi="Times New Roman" w:cs="Times New Roman"/>
        </w:rPr>
        <w:t xml:space="preserve"> through separate assessment activities that assess specific aspects of our program. These are then viewed in relation to students’ performance in the senior capstone experience. The capstone ask</w:t>
      </w:r>
      <w:r w:rsidR="00E246A8" w:rsidRPr="005030FD">
        <w:rPr>
          <w:rFonts w:ascii="Times New Roman" w:hAnsi="Times New Roman" w:cs="Times New Roman"/>
        </w:rPr>
        <w:t>s</w:t>
      </w:r>
      <w:r w:rsidRPr="005030FD">
        <w:rPr>
          <w:rFonts w:ascii="Times New Roman" w:hAnsi="Times New Roman" w:cs="Times New Roman"/>
        </w:rPr>
        <w:t xml:space="preserve"> students to produce an extensive writing portfolio that combines previously-written work, revised materials, new scholarship, and a reflective essay that ties them together. </w:t>
      </w:r>
      <w:r w:rsidRPr="005030FD">
        <w:rPr>
          <w:rFonts w:ascii="Times New Roman" w:hAnsi="Times New Roman" w:cs="Times New Roman"/>
          <w:color w:val="000000" w:themeColor="text1"/>
        </w:rPr>
        <w:t xml:space="preserve">Students also do a formal oral presentation, in which we assess their oral communication skills. </w:t>
      </w:r>
    </w:p>
    <w:p w14:paraId="06DFDF1D" w14:textId="465F0C50" w:rsidR="00A34C0E" w:rsidRPr="005030FD" w:rsidRDefault="002D4A99" w:rsidP="003D6F76">
      <w:pPr>
        <w:ind w:firstLine="720"/>
        <w:rPr>
          <w:rFonts w:ascii="Times New Roman" w:hAnsi="Times New Roman" w:cs="Times New Roman"/>
          <w:color w:val="000000" w:themeColor="text1"/>
        </w:rPr>
      </w:pPr>
      <w:r w:rsidRPr="005030FD">
        <w:rPr>
          <w:rFonts w:ascii="Times New Roman" w:hAnsi="Times New Roman" w:cs="Times New Roman"/>
        </w:rPr>
        <w:t>The assessment of the Senior Capstone’s portfolios and oral presentations is done through a rubric that measures to what extent the program has achieved its learning outcomes at the end of the program.</w:t>
      </w:r>
      <w:r w:rsidR="00E246A8" w:rsidRPr="005030FD">
        <w:rPr>
          <w:rFonts w:ascii="Times New Roman" w:hAnsi="Times New Roman" w:cs="Times New Roman"/>
          <w:color w:val="000000" w:themeColor="text1"/>
        </w:rPr>
        <w:t xml:space="preserve"> </w:t>
      </w:r>
      <w:r w:rsidRPr="005030FD">
        <w:rPr>
          <w:rFonts w:ascii="Times New Roman" w:hAnsi="Times New Roman" w:cs="Times New Roman"/>
        </w:rPr>
        <w:t>Students in the culminating capstone course are given anonymous exit questionnaires that address a number of assess</w:t>
      </w:r>
      <w:r w:rsidRPr="00B96C11">
        <w:rPr>
          <w:rFonts w:ascii="Times New Roman" w:hAnsi="Times New Roman" w:cs="Times New Roman"/>
        </w:rPr>
        <w:t>ment points. All of these materials are reviewed annually by the T-TT Spanish Faculty</w:t>
      </w:r>
      <w:r w:rsidR="00B96C11" w:rsidRPr="00B96C11">
        <w:rPr>
          <w:rFonts w:ascii="Times New Roman" w:hAnsi="Times New Roman" w:cs="Times New Roman"/>
        </w:rPr>
        <w:t>.</w:t>
      </w:r>
      <w:r w:rsidRPr="00B96C11">
        <w:rPr>
          <w:rFonts w:ascii="Times New Roman" w:hAnsi="Times New Roman" w:cs="Times New Roman"/>
        </w:rPr>
        <w:t xml:space="preserve"> </w:t>
      </w:r>
      <w:r w:rsidR="00B96C11" w:rsidRPr="00B96C11">
        <w:rPr>
          <w:rFonts w:ascii="Times New Roman" w:eastAsia="Times New Roman" w:hAnsi="Times New Roman" w:cs="Times New Roman"/>
          <w:bCs/>
        </w:rPr>
        <w:t xml:space="preserve">Some changes that have been implemented as a result of </w:t>
      </w:r>
      <w:r w:rsidR="00B96C11" w:rsidRPr="00B96C11">
        <w:rPr>
          <w:rFonts w:ascii="Times New Roman" w:eastAsia="Times New Roman" w:hAnsi="Times New Roman" w:cs="Times New Roman"/>
          <w:bCs/>
        </w:rPr>
        <w:lastRenderedPageBreak/>
        <w:t xml:space="preserve">examination of assessment are the creation </w:t>
      </w:r>
      <w:r w:rsidR="00B96C11">
        <w:rPr>
          <w:rFonts w:ascii="Times New Roman" w:eastAsia="Times New Roman" w:hAnsi="Times New Roman" w:cs="Times New Roman"/>
          <w:bCs/>
        </w:rPr>
        <w:t>of a service-learning course (S</w:t>
      </w:r>
      <w:r w:rsidR="00B96C11" w:rsidRPr="00B96C11">
        <w:rPr>
          <w:rFonts w:ascii="Times New Roman" w:eastAsia="Times New Roman" w:hAnsi="Times New Roman" w:cs="Times New Roman"/>
          <w:bCs/>
        </w:rPr>
        <w:t>‘</w:t>
      </w:r>
      <w:r w:rsidR="00B96C11">
        <w:rPr>
          <w:rFonts w:ascii="Times New Roman" w:eastAsia="Times New Roman" w:hAnsi="Times New Roman" w:cs="Times New Roman"/>
          <w:bCs/>
        </w:rPr>
        <w:t>15 and S</w:t>
      </w:r>
      <w:r w:rsidR="00B96C11" w:rsidRPr="00B96C11">
        <w:rPr>
          <w:rFonts w:ascii="Times New Roman" w:eastAsia="Times New Roman" w:hAnsi="Times New Roman" w:cs="Times New Roman"/>
          <w:bCs/>
        </w:rPr>
        <w:t>‘16) and the piloting of a Spanish I</w:t>
      </w:r>
      <w:r w:rsidR="00B96C11">
        <w:rPr>
          <w:rFonts w:ascii="Times New Roman" w:eastAsia="Times New Roman" w:hAnsi="Times New Roman" w:cs="Times New Roman"/>
          <w:bCs/>
        </w:rPr>
        <w:t>nternship course (F</w:t>
      </w:r>
      <w:r w:rsidR="00B96C11" w:rsidRPr="00B96C11">
        <w:rPr>
          <w:rFonts w:ascii="Times New Roman" w:eastAsia="Times New Roman" w:hAnsi="Times New Roman" w:cs="Times New Roman"/>
          <w:bCs/>
        </w:rPr>
        <w:t xml:space="preserve">‘16) as 499, to better address students’ professional preparation. In F‘16, one of the new post-conversion course, Spanish Cinema, will be piloted as 499. We have also implemented an innovative teaching approach to two courses with the support of SPICE grants: 254 </w:t>
      </w:r>
      <w:r w:rsidR="00B96C11" w:rsidRPr="00B96C11">
        <w:rPr>
          <w:rFonts w:ascii="Times New Roman" w:eastAsia="Times New Roman" w:hAnsi="Times New Roman" w:cs="Times New Roman"/>
          <w:bCs/>
          <w:i/>
        </w:rPr>
        <w:t>Intermediate Spanish Conversation</w:t>
      </w:r>
      <w:r w:rsidR="00B96C11" w:rsidRPr="00B96C11">
        <w:rPr>
          <w:rFonts w:ascii="Times New Roman" w:eastAsia="Times New Roman" w:hAnsi="Times New Roman" w:cs="Times New Roman"/>
          <w:bCs/>
        </w:rPr>
        <w:t xml:space="preserve"> and SPN 450 </w:t>
      </w:r>
      <w:r w:rsidR="00B96C11" w:rsidRPr="00B96C11">
        <w:rPr>
          <w:rFonts w:ascii="Times New Roman" w:eastAsia="Times New Roman" w:hAnsi="Times New Roman" w:cs="Times New Roman"/>
          <w:bCs/>
          <w:i/>
        </w:rPr>
        <w:t>Spanish Syntax.</w:t>
      </w:r>
    </w:p>
    <w:sectPr w:rsidR="00A34C0E" w:rsidRPr="005030FD" w:rsidSect="007D4A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7ACB5" w14:textId="77777777" w:rsidR="00AA166E" w:rsidRDefault="00AA166E" w:rsidP="0070652C">
      <w:r>
        <w:separator/>
      </w:r>
    </w:p>
  </w:endnote>
  <w:endnote w:type="continuationSeparator" w:id="0">
    <w:p w14:paraId="794FB10E" w14:textId="77777777" w:rsidR="00AA166E" w:rsidRDefault="00AA166E" w:rsidP="0070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7828" w14:textId="77777777" w:rsidR="00AA166E" w:rsidRDefault="00AA166E" w:rsidP="0070652C">
      <w:r>
        <w:separator/>
      </w:r>
    </w:p>
  </w:footnote>
  <w:footnote w:type="continuationSeparator" w:id="0">
    <w:p w14:paraId="022DF82F" w14:textId="77777777" w:rsidR="00AA166E" w:rsidRDefault="00AA166E" w:rsidP="00706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1C7"/>
    <w:multiLevelType w:val="multilevel"/>
    <w:tmpl w:val="A6FA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34A10"/>
    <w:multiLevelType w:val="hybridMultilevel"/>
    <w:tmpl w:val="3AFA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F7975"/>
    <w:multiLevelType w:val="multilevel"/>
    <w:tmpl w:val="B34C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22FF6"/>
    <w:multiLevelType w:val="hybridMultilevel"/>
    <w:tmpl w:val="5400F6AC"/>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3F7951E8"/>
    <w:multiLevelType w:val="hybridMultilevel"/>
    <w:tmpl w:val="DA00CA3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cs="Times New Roman" w:hint="default"/>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New" w:hAnsi="Courier New" w:cs="Times New Roman"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New" w:hAnsi="Courier New" w:cs="Times New Roman"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5">
    <w:nsid w:val="510C0B6E"/>
    <w:multiLevelType w:val="multilevel"/>
    <w:tmpl w:val="44EA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464DD"/>
    <w:multiLevelType w:val="hybridMultilevel"/>
    <w:tmpl w:val="92D2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DF0969"/>
    <w:multiLevelType w:val="hybridMultilevel"/>
    <w:tmpl w:val="760064A8"/>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5654280D"/>
    <w:multiLevelType w:val="hybridMultilevel"/>
    <w:tmpl w:val="5884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77A81"/>
    <w:multiLevelType w:val="multilevel"/>
    <w:tmpl w:val="1596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4316F0"/>
    <w:multiLevelType w:val="hybridMultilevel"/>
    <w:tmpl w:val="4CFCBF48"/>
    <w:lvl w:ilvl="0" w:tplc="00010409">
      <w:start w:val="1"/>
      <w:numFmt w:val="bullet"/>
      <w:lvlText w:val=""/>
      <w:lvlJc w:val="left"/>
      <w:pPr>
        <w:tabs>
          <w:tab w:val="num" w:pos="2520"/>
        </w:tabs>
        <w:ind w:left="2520" w:hanging="360"/>
      </w:pPr>
      <w:rPr>
        <w:rFonts w:ascii="Symbol" w:hAnsi="Symbol" w:hint="default"/>
      </w:rPr>
    </w:lvl>
    <w:lvl w:ilvl="1" w:tplc="00030409">
      <w:start w:val="1"/>
      <w:numFmt w:val="bullet"/>
      <w:lvlText w:val="o"/>
      <w:lvlJc w:val="left"/>
      <w:pPr>
        <w:tabs>
          <w:tab w:val="num" w:pos="3240"/>
        </w:tabs>
        <w:ind w:left="3240" w:hanging="360"/>
      </w:pPr>
      <w:rPr>
        <w:rFonts w:ascii="Courier New" w:hAnsi="Courier New" w:cs="Times New Roman" w:hint="default"/>
      </w:rPr>
    </w:lvl>
    <w:lvl w:ilvl="2" w:tplc="00050409">
      <w:start w:val="1"/>
      <w:numFmt w:val="bullet"/>
      <w:lvlText w:val=""/>
      <w:lvlJc w:val="left"/>
      <w:pPr>
        <w:tabs>
          <w:tab w:val="num" w:pos="3960"/>
        </w:tabs>
        <w:ind w:left="3960" w:hanging="360"/>
      </w:pPr>
      <w:rPr>
        <w:rFonts w:ascii="Wingdings" w:hAnsi="Wingdings" w:hint="default"/>
      </w:rPr>
    </w:lvl>
    <w:lvl w:ilvl="3" w:tplc="00010409">
      <w:start w:val="1"/>
      <w:numFmt w:val="bullet"/>
      <w:lvlText w:val=""/>
      <w:lvlJc w:val="left"/>
      <w:pPr>
        <w:tabs>
          <w:tab w:val="num" w:pos="4680"/>
        </w:tabs>
        <w:ind w:left="4680" w:hanging="360"/>
      </w:pPr>
      <w:rPr>
        <w:rFonts w:ascii="Symbol" w:hAnsi="Symbol" w:hint="default"/>
      </w:rPr>
    </w:lvl>
    <w:lvl w:ilvl="4" w:tplc="00030409">
      <w:start w:val="1"/>
      <w:numFmt w:val="bullet"/>
      <w:lvlText w:val="o"/>
      <w:lvlJc w:val="left"/>
      <w:pPr>
        <w:tabs>
          <w:tab w:val="num" w:pos="5400"/>
        </w:tabs>
        <w:ind w:left="5400" w:hanging="360"/>
      </w:pPr>
      <w:rPr>
        <w:rFonts w:ascii="Courier New" w:hAnsi="Courier New" w:cs="Times New Roman" w:hint="default"/>
      </w:rPr>
    </w:lvl>
    <w:lvl w:ilvl="5" w:tplc="00050409">
      <w:start w:val="1"/>
      <w:numFmt w:val="bullet"/>
      <w:lvlText w:val=""/>
      <w:lvlJc w:val="left"/>
      <w:pPr>
        <w:tabs>
          <w:tab w:val="num" w:pos="6120"/>
        </w:tabs>
        <w:ind w:left="6120" w:hanging="360"/>
      </w:pPr>
      <w:rPr>
        <w:rFonts w:ascii="Wingdings" w:hAnsi="Wingdings" w:hint="default"/>
      </w:rPr>
    </w:lvl>
    <w:lvl w:ilvl="6" w:tplc="00010409">
      <w:start w:val="1"/>
      <w:numFmt w:val="bullet"/>
      <w:lvlText w:val=""/>
      <w:lvlJc w:val="left"/>
      <w:pPr>
        <w:tabs>
          <w:tab w:val="num" w:pos="6840"/>
        </w:tabs>
        <w:ind w:left="6840" w:hanging="360"/>
      </w:pPr>
      <w:rPr>
        <w:rFonts w:ascii="Symbol" w:hAnsi="Symbol" w:hint="default"/>
      </w:rPr>
    </w:lvl>
    <w:lvl w:ilvl="7" w:tplc="00030409">
      <w:start w:val="1"/>
      <w:numFmt w:val="bullet"/>
      <w:lvlText w:val="o"/>
      <w:lvlJc w:val="left"/>
      <w:pPr>
        <w:tabs>
          <w:tab w:val="num" w:pos="7560"/>
        </w:tabs>
        <w:ind w:left="7560" w:hanging="360"/>
      </w:pPr>
      <w:rPr>
        <w:rFonts w:ascii="Courier New" w:hAnsi="Courier New" w:cs="Times New Roman" w:hint="default"/>
      </w:rPr>
    </w:lvl>
    <w:lvl w:ilvl="8" w:tplc="00050409">
      <w:start w:val="1"/>
      <w:numFmt w:val="bullet"/>
      <w:lvlText w:val=""/>
      <w:lvlJc w:val="left"/>
      <w:pPr>
        <w:tabs>
          <w:tab w:val="num" w:pos="8280"/>
        </w:tabs>
        <w:ind w:left="82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9"/>
  </w:num>
  <w:num w:numId="6">
    <w:abstractNumId w:val="2"/>
  </w:num>
  <w:num w:numId="7">
    <w:abstractNumId w:val="5"/>
  </w:num>
  <w:num w:numId="8">
    <w:abstractNumId w:val="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77"/>
    <w:rsid w:val="00031A61"/>
    <w:rsid w:val="00043C38"/>
    <w:rsid w:val="00052F44"/>
    <w:rsid w:val="000613C2"/>
    <w:rsid w:val="000918D2"/>
    <w:rsid w:val="001458D0"/>
    <w:rsid w:val="00166FB5"/>
    <w:rsid w:val="00182173"/>
    <w:rsid w:val="00183995"/>
    <w:rsid w:val="001D175A"/>
    <w:rsid w:val="001E1A9E"/>
    <w:rsid w:val="00233709"/>
    <w:rsid w:val="0023432D"/>
    <w:rsid w:val="00241621"/>
    <w:rsid w:val="002975B2"/>
    <w:rsid w:val="002D4A99"/>
    <w:rsid w:val="00327F53"/>
    <w:rsid w:val="003431CC"/>
    <w:rsid w:val="003452B7"/>
    <w:rsid w:val="00386372"/>
    <w:rsid w:val="003923B3"/>
    <w:rsid w:val="003A1D45"/>
    <w:rsid w:val="003D69E9"/>
    <w:rsid w:val="003D6F76"/>
    <w:rsid w:val="003F05D4"/>
    <w:rsid w:val="00404349"/>
    <w:rsid w:val="004230FB"/>
    <w:rsid w:val="00455477"/>
    <w:rsid w:val="0046488C"/>
    <w:rsid w:val="00473229"/>
    <w:rsid w:val="0047745E"/>
    <w:rsid w:val="00485661"/>
    <w:rsid w:val="004F7532"/>
    <w:rsid w:val="005030FD"/>
    <w:rsid w:val="0056071B"/>
    <w:rsid w:val="005609F9"/>
    <w:rsid w:val="00581159"/>
    <w:rsid w:val="005C5E62"/>
    <w:rsid w:val="005F7B6D"/>
    <w:rsid w:val="00675AC8"/>
    <w:rsid w:val="00693B8D"/>
    <w:rsid w:val="0070652C"/>
    <w:rsid w:val="00711CEC"/>
    <w:rsid w:val="007440B4"/>
    <w:rsid w:val="00750CDE"/>
    <w:rsid w:val="007D4A0A"/>
    <w:rsid w:val="00803798"/>
    <w:rsid w:val="00877D2D"/>
    <w:rsid w:val="008858A6"/>
    <w:rsid w:val="00886912"/>
    <w:rsid w:val="00891FC6"/>
    <w:rsid w:val="008B4346"/>
    <w:rsid w:val="00901D03"/>
    <w:rsid w:val="00911B45"/>
    <w:rsid w:val="00962BDB"/>
    <w:rsid w:val="00966A3E"/>
    <w:rsid w:val="009B1C33"/>
    <w:rsid w:val="009E752C"/>
    <w:rsid w:val="00A21421"/>
    <w:rsid w:val="00A32A22"/>
    <w:rsid w:val="00A34C0E"/>
    <w:rsid w:val="00AA166E"/>
    <w:rsid w:val="00AC4297"/>
    <w:rsid w:val="00AC436A"/>
    <w:rsid w:val="00AD2049"/>
    <w:rsid w:val="00B0175D"/>
    <w:rsid w:val="00B048A8"/>
    <w:rsid w:val="00B37268"/>
    <w:rsid w:val="00B50403"/>
    <w:rsid w:val="00B74A9E"/>
    <w:rsid w:val="00B96C11"/>
    <w:rsid w:val="00C056D1"/>
    <w:rsid w:val="00C34A06"/>
    <w:rsid w:val="00C60D3C"/>
    <w:rsid w:val="00D44413"/>
    <w:rsid w:val="00D66E93"/>
    <w:rsid w:val="00D84EAC"/>
    <w:rsid w:val="00D860AA"/>
    <w:rsid w:val="00DB4A0F"/>
    <w:rsid w:val="00DD45D5"/>
    <w:rsid w:val="00DF289B"/>
    <w:rsid w:val="00E05907"/>
    <w:rsid w:val="00E246A8"/>
    <w:rsid w:val="00F65883"/>
    <w:rsid w:val="00FB2C78"/>
    <w:rsid w:val="00FF4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AA6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056D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6A"/>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3A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0175D"/>
    <w:rPr>
      <w:rFonts w:ascii="Times New Roman" w:eastAsia="MS Mincho" w:hAnsi="Times New Roman" w:cs="Times New Roman"/>
      <w:szCs w:val="20"/>
    </w:rPr>
  </w:style>
  <w:style w:type="character" w:customStyle="1" w:styleId="BodyText2Char">
    <w:name w:val="Body Text 2 Char"/>
    <w:basedOn w:val="DefaultParagraphFont"/>
    <w:link w:val="BodyText2"/>
    <w:uiPriority w:val="99"/>
    <w:rsid w:val="00B0175D"/>
    <w:rPr>
      <w:rFonts w:ascii="Times New Roman" w:eastAsia="MS Mincho" w:hAnsi="Times New Roman" w:cs="Times New Roman"/>
      <w:szCs w:val="20"/>
    </w:rPr>
  </w:style>
  <w:style w:type="paragraph" w:styleId="BlockText">
    <w:name w:val="Block Text"/>
    <w:basedOn w:val="Normal"/>
    <w:uiPriority w:val="99"/>
    <w:unhideWhenUsed/>
    <w:rsid w:val="00B0175D"/>
    <w:pPr>
      <w:tabs>
        <w:tab w:val="left" w:pos="720"/>
      </w:tabs>
      <w:ind w:left="720" w:right="-180" w:hanging="360"/>
    </w:pPr>
    <w:rPr>
      <w:rFonts w:ascii="Times New Roman" w:eastAsia="MS Mincho" w:hAnsi="Times New Roman" w:cs="Times New Roman"/>
      <w:b/>
      <w:sz w:val="28"/>
      <w:szCs w:val="20"/>
    </w:rPr>
  </w:style>
  <w:style w:type="character" w:customStyle="1" w:styleId="Heading5Char">
    <w:name w:val="Heading 5 Char"/>
    <w:basedOn w:val="DefaultParagraphFont"/>
    <w:link w:val="Heading5"/>
    <w:uiPriority w:val="9"/>
    <w:rsid w:val="00C056D1"/>
    <w:rPr>
      <w:rFonts w:ascii="Times New Roman" w:eastAsia="Times New Roman" w:hAnsi="Times New Roman" w:cs="Times New Roman"/>
      <w:b/>
      <w:bCs/>
      <w:sz w:val="20"/>
      <w:szCs w:val="20"/>
    </w:rPr>
  </w:style>
  <w:style w:type="character" w:styleId="Emphasis">
    <w:name w:val="Emphasis"/>
    <w:basedOn w:val="DefaultParagraphFont"/>
    <w:uiPriority w:val="20"/>
    <w:qFormat/>
    <w:rsid w:val="00C056D1"/>
    <w:rPr>
      <w:i/>
      <w:iCs/>
    </w:rPr>
  </w:style>
  <w:style w:type="character" w:styleId="CommentReference">
    <w:name w:val="annotation reference"/>
    <w:basedOn w:val="DefaultParagraphFont"/>
    <w:uiPriority w:val="99"/>
    <w:semiHidden/>
    <w:unhideWhenUsed/>
    <w:rsid w:val="00AC4297"/>
    <w:rPr>
      <w:sz w:val="16"/>
      <w:szCs w:val="16"/>
    </w:rPr>
  </w:style>
  <w:style w:type="paragraph" w:styleId="CommentText">
    <w:name w:val="annotation text"/>
    <w:basedOn w:val="Normal"/>
    <w:link w:val="CommentTextChar"/>
    <w:uiPriority w:val="99"/>
    <w:semiHidden/>
    <w:unhideWhenUsed/>
    <w:rsid w:val="00AC4297"/>
    <w:rPr>
      <w:sz w:val="20"/>
      <w:szCs w:val="20"/>
    </w:rPr>
  </w:style>
  <w:style w:type="character" w:customStyle="1" w:styleId="CommentTextChar">
    <w:name w:val="Comment Text Char"/>
    <w:basedOn w:val="DefaultParagraphFont"/>
    <w:link w:val="CommentText"/>
    <w:uiPriority w:val="99"/>
    <w:semiHidden/>
    <w:rsid w:val="00AC4297"/>
    <w:rPr>
      <w:sz w:val="20"/>
      <w:szCs w:val="20"/>
    </w:rPr>
  </w:style>
  <w:style w:type="paragraph" w:styleId="CommentSubject">
    <w:name w:val="annotation subject"/>
    <w:basedOn w:val="CommentText"/>
    <w:next w:val="CommentText"/>
    <w:link w:val="CommentSubjectChar"/>
    <w:uiPriority w:val="99"/>
    <w:semiHidden/>
    <w:unhideWhenUsed/>
    <w:rsid w:val="00AC4297"/>
    <w:rPr>
      <w:b/>
      <w:bCs/>
    </w:rPr>
  </w:style>
  <w:style w:type="character" w:customStyle="1" w:styleId="CommentSubjectChar">
    <w:name w:val="Comment Subject Char"/>
    <w:basedOn w:val="CommentTextChar"/>
    <w:link w:val="CommentSubject"/>
    <w:uiPriority w:val="99"/>
    <w:semiHidden/>
    <w:rsid w:val="00AC4297"/>
    <w:rPr>
      <w:b/>
      <w:bCs/>
      <w:sz w:val="20"/>
      <w:szCs w:val="20"/>
    </w:rPr>
  </w:style>
  <w:style w:type="paragraph" w:styleId="BalloonText">
    <w:name w:val="Balloon Text"/>
    <w:basedOn w:val="Normal"/>
    <w:link w:val="BalloonTextChar"/>
    <w:uiPriority w:val="99"/>
    <w:semiHidden/>
    <w:unhideWhenUsed/>
    <w:rsid w:val="00AC4297"/>
    <w:rPr>
      <w:rFonts w:ascii="Tahoma" w:hAnsi="Tahoma" w:cs="Tahoma"/>
      <w:sz w:val="16"/>
      <w:szCs w:val="16"/>
    </w:rPr>
  </w:style>
  <w:style w:type="character" w:customStyle="1" w:styleId="BalloonTextChar">
    <w:name w:val="Balloon Text Char"/>
    <w:basedOn w:val="DefaultParagraphFont"/>
    <w:link w:val="BalloonText"/>
    <w:uiPriority w:val="99"/>
    <w:semiHidden/>
    <w:rsid w:val="00AC4297"/>
    <w:rPr>
      <w:rFonts w:ascii="Tahoma" w:hAnsi="Tahoma" w:cs="Tahoma"/>
      <w:sz w:val="16"/>
      <w:szCs w:val="16"/>
    </w:rPr>
  </w:style>
  <w:style w:type="character" w:styleId="Strong">
    <w:name w:val="Strong"/>
    <w:basedOn w:val="DefaultParagraphFont"/>
    <w:uiPriority w:val="22"/>
    <w:qFormat/>
    <w:rsid w:val="004F7532"/>
    <w:rPr>
      <w:b/>
      <w:bCs/>
    </w:rPr>
  </w:style>
  <w:style w:type="character" w:customStyle="1" w:styleId="apple-converted-space">
    <w:name w:val="apple-converted-space"/>
    <w:basedOn w:val="DefaultParagraphFont"/>
    <w:rsid w:val="004F7532"/>
  </w:style>
  <w:style w:type="paragraph" w:styleId="ListParagraph">
    <w:name w:val="List Paragraph"/>
    <w:basedOn w:val="Normal"/>
    <w:uiPriority w:val="34"/>
    <w:qFormat/>
    <w:rsid w:val="000918D2"/>
    <w:pPr>
      <w:spacing w:after="200" w:line="276" w:lineRule="auto"/>
      <w:ind w:left="720"/>
      <w:contextualSpacing/>
    </w:pPr>
    <w:rPr>
      <w:rFonts w:eastAsiaTheme="minorHAnsi"/>
      <w:sz w:val="22"/>
      <w:szCs w:val="22"/>
    </w:rPr>
  </w:style>
  <w:style w:type="paragraph" w:customStyle="1" w:styleId="ta-response-item-content">
    <w:name w:val="ta-response-item-content"/>
    <w:basedOn w:val="Normal"/>
    <w:rsid w:val="000918D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416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6A3E"/>
    <w:rPr>
      <w:color w:val="0000FF" w:themeColor="hyperlink"/>
      <w:u w:val="single"/>
    </w:rPr>
  </w:style>
  <w:style w:type="paragraph" w:styleId="Header">
    <w:name w:val="header"/>
    <w:basedOn w:val="Normal"/>
    <w:link w:val="HeaderChar"/>
    <w:uiPriority w:val="99"/>
    <w:unhideWhenUsed/>
    <w:rsid w:val="0070652C"/>
    <w:pPr>
      <w:tabs>
        <w:tab w:val="center" w:pos="4680"/>
        <w:tab w:val="right" w:pos="9360"/>
      </w:tabs>
    </w:pPr>
  </w:style>
  <w:style w:type="character" w:customStyle="1" w:styleId="HeaderChar">
    <w:name w:val="Header Char"/>
    <w:basedOn w:val="DefaultParagraphFont"/>
    <w:link w:val="Header"/>
    <w:uiPriority w:val="99"/>
    <w:rsid w:val="0070652C"/>
  </w:style>
  <w:style w:type="paragraph" w:styleId="Footer">
    <w:name w:val="footer"/>
    <w:basedOn w:val="Normal"/>
    <w:link w:val="FooterChar"/>
    <w:uiPriority w:val="99"/>
    <w:unhideWhenUsed/>
    <w:rsid w:val="0070652C"/>
    <w:pPr>
      <w:tabs>
        <w:tab w:val="center" w:pos="4680"/>
        <w:tab w:val="right" w:pos="9360"/>
      </w:tabs>
    </w:pPr>
  </w:style>
  <w:style w:type="character" w:customStyle="1" w:styleId="FooterChar">
    <w:name w:val="Footer Char"/>
    <w:basedOn w:val="DefaultParagraphFont"/>
    <w:link w:val="Footer"/>
    <w:uiPriority w:val="99"/>
    <w:rsid w:val="0070652C"/>
  </w:style>
  <w:style w:type="character" w:styleId="FollowedHyperlink">
    <w:name w:val="FollowedHyperlink"/>
    <w:basedOn w:val="DefaultParagraphFont"/>
    <w:uiPriority w:val="99"/>
    <w:semiHidden/>
    <w:unhideWhenUsed/>
    <w:rsid w:val="00166F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C056D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36A"/>
    <w:pPr>
      <w:widowControl w:val="0"/>
      <w:autoSpaceDE w:val="0"/>
      <w:autoSpaceDN w:val="0"/>
      <w:adjustRightInd w:val="0"/>
    </w:pPr>
    <w:rPr>
      <w:rFonts w:ascii="Cambria" w:hAnsi="Cambria" w:cs="Cambria"/>
      <w:color w:val="000000"/>
    </w:rPr>
  </w:style>
  <w:style w:type="table" w:styleId="TableGrid">
    <w:name w:val="Table Grid"/>
    <w:basedOn w:val="TableNormal"/>
    <w:uiPriority w:val="59"/>
    <w:rsid w:val="003A1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0175D"/>
    <w:rPr>
      <w:rFonts w:ascii="Times New Roman" w:eastAsia="MS Mincho" w:hAnsi="Times New Roman" w:cs="Times New Roman"/>
      <w:szCs w:val="20"/>
    </w:rPr>
  </w:style>
  <w:style w:type="character" w:customStyle="1" w:styleId="BodyText2Char">
    <w:name w:val="Body Text 2 Char"/>
    <w:basedOn w:val="DefaultParagraphFont"/>
    <w:link w:val="BodyText2"/>
    <w:uiPriority w:val="99"/>
    <w:rsid w:val="00B0175D"/>
    <w:rPr>
      <w:rFonts w:ascii="Times New Roman" w:eastAsia="MS Mincho" w:hAnsi="Times New Roman" w:cs="Times New Roman"/>
      <w:szCs w:val="20"/>
    </w:rPr>
  </w:style>
  <w:style w:type="paragraph" w:styleId="BlockText">
    <w:name w:val="Block Text"/>
    <w:basedOn w:val="Normal"/>
    <w:uiPriority w:val="99"/>
    <w:unhideWhenUsed/>
    <w:rsid w:val="00B0175D"/>
    <w:pPr>
      <w:tabs>
        <w:tab w:val="left" w:pos="720"/>
      </w:tabs>
      <w:ind w:left="720" w:right="-180" w:hanging="360"/>
    </w:pPr>
    <w:rPr>
      <w:rFonts w:ascii="Times New Roman" w:eastAsia="MS Mincho" w:hAnsi="Times New Roman" w:cs="Times New Roman"/>
      <w:b/>
      <w:sz w:val="28"/>
      <w:szCs w:val="20"/>
    </w:rPr>
  </w:style>
  <w:style w:type="character" w:customStyle="1" w:styleId="Heading5Char">
    <w:name w:val="Heading 5 Char"/>
    <w:basedOn w:val="DefaultParagraphFont"/>
    <w:link w:val="Heading5"/>
    <w:uiPriority w:val="9"/>
    <w:rsid w:val="00C056D1"/>
    <w:rPr>
      <w:rFonts w:ascii="Times New Roman" w:eastAsia="Times New Roman" w:hAnsi="Times New Roman" w:cs="Times New Roman"/>
      <w:b/>
      <w:bCs/>
      <w:sz w:val="20"/>
      <w:szCs w:val="20"/>
    </w:rPr>
  </w:style>
  <w:style w:type="character" w:styleId="Emphasis">
    <w:name w:val="Emphasis"/>
    <w:basedOn w:val="DefaultParagraphFont"/>
    <w:uiPriority w:val="20"/>
    <w:qFormat/>
    <w:rsid w:val="00C056D1"/>
    <w:rPr>
      <w:i/>
      <w:iCs/>
    </w:rPr>
  </w:style>
  <w:style w:type="character" w:styleId="CommentReference">
    <w:name w:val="annotation reference"/>
    <w:basedOn w:val="DefaultParagraphFont"/>
    <w:uiPriority w:val="99"/>
    <w:semiHidden/>
    <w:unhideWhenUsed/>
    <w:rsid w:val="00AC4297"/>
    <w:rPr>
      <w:sz w:val="16"/>
      <w:szCs w:val="16"/>
    </w:rPr>
  </w:style>
  <w:style w:type="paragraph" w:styleId="CommentText">
    <w:name w:val="annotation text"/>
    <w:basedOn w:val="Normal"/>
    <w:link w:val="CommentTextChar"/>
    <w:uiPriority w:val="99"/>
    <w:semiHidden/>
    <w:unhideWhenUsed/>
    <w:rsid w:val="00AC4297"/>
    <w:rPr>
      <w:sz w:val="20"/>
      <w:szCs w:val="20"/>
    </w:rPr>
  </w:style>
  <w:style w:type="character" w:customStyle="1" w:styleId="CommentTextChar">
    <w:name w:val="Comment Text Char"/>
    <w:basedOn w:val="DefaultParagraphFont"/>
    <w:link w:val="CommentText"/>
    <w:uiPriority w:val="99"/>
    <w:semiHidden/>
    <w:rsid w:val="00AC4297"/>
    <w:rPr>
      <w:sz w:val="20"/>
      <w:szCs w:val="20"/>
    </w:rPr>
  </w:style>
  <w:style w:type="paragraph" w:styleId="CommentSubject">
    <w:name w:val="annotation subject"/>
    <w:basedOn w:val="CommentText"/>
    <w:next w:val="CommentText"/>
    <w:link w:val="CommentSubjectChar"/>
    <w:uiPriority w:val="99"/>
    <w:semiHidden/>
    <w:unhideWhenUsed/>
    <w:rsid w:val="00AC4297"/>
    <w:rPr>
      <w:b/>
      <w:bCs/>
    </w:rPr>
  </w:style>
  <w:style w:type="character" w:customStyle="1" w:styleId="CommentSubjectChar">
    <w:name w:val="Comment Subject Char"/>
    <w:basedOn w:val="CommentTextChar"/>
    <w:link w:val="CommentSubject"/>
    <w:uiPriority w:val="99"/>
    <w:semiHidden/>
    <w:rsid w:val="00AC4297"/>
    <w:rPr>
      <w:b/>
      <w:bCs/>
      <w:sz w:val="20"/>
      <w:szCs w:val="20"/>
    </w:rPr>
  </w:style>
  <w:style w:type="paragraph" w:styleId="BalloonText">
    <w:name w:val="Balloon Text"/>
    <w:basedOn w:val="Normal"/>
    <w:link w:val="BalloonTextChar"/>
    <w:uiPriority w:val="99"/>
    <w:semiHidden/>
    <w:unhideWhenUsed/>
    <w:rsid w:val="00AC4297"/>
    <w:rPr>
      <w:rFonts w:ascii="Tahoma" w:hAnsi="Tahoma" w:cs="Tahoma"/>
      <w:sz w:val="16"/>
      <w:szCs w:val="16"/>
    </w:rPr>
  </w:style>
  <w:style w:type="character" w:customStyle="1" w:styleId="BalloonTextChar">
    <w:name w:val="Balloon Text Char"/>
    <w:basedOn w:val="DefaultParagraphFont"/>
    <w:link w:val="BalloonText"/>
    <w:uiPriority w:val="99"/>
    <w:semiHidden/>
    <w:rsid w:val="00AC4297"/>
    <w:rPr>
      <w:rFonts w:ascii="Tahoma" w:hAnsi="Tahoma" w:cs="Tahoma"/>
      <w:sz w:val="16"/>
      <w:szCs w:val="16"/>
    </w:rPr>
  </w:style>
  <w:style w:type="character" w:styleId="Strong">
    <w:name w:val="Strong"/>
    <w:basedOn w:val="DefaultParagraphFont"/>
    <w:uiPriority w:val="22"/>
    <w:qFormat/>
    <w:rsid w:val="004F7532"/>
    <w:rPr>
      <w:b/>
      <w:bCs/>
    </w:rPr>
  </w:style>
  <w:style w:type="character" w:customStyle="1" w:styleId="apple-converted-space">
    <w:name w:val="apple-converted-space"/>
    <w:basedOn w:val="DefaultParagraphFont"/>
    <w:rsid w:val="004F7532"/>
  </w:style>
  <w:style w:type="paragraph" w:styleId="ListParagraph">
    <w:name w:val="List Paragraph"/>
    <w:basedOn w:val="Normal"/>
    <w:uiPriority w:val="34"/>
    <w:qFormat/>
    <w:rsid w:val="000918D2"/>
    <w:pPr>
      <w:spacing w:after="200" w:line="276" w:lineRule="auto"/>
      <w:ind w:left="720"/>
      <w:contextualSpacing/>
    </w:pPr>
    <w:rPr>
      <w:rFonts w:eastAsiaTheme="minorHAnsi"/>
      <w:sz w:val="22"/>
      <w:szCs w:val="22"/>
    </w:rPr>
  </w:style>
  <w:style w:type="paragraph" w:customStyle="1" w:styleId="ta-response-item-content">
    <w:name w:val="ta-response-item-content"/>
    <w:basedOn w:val="Normal"/>
    <w:rsid w:val="000918D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416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66A3E"/>
    <w:rPr>
      <w:color w:val="0000FF" w:themeColor="hyperlink"/>
      <w:u w:val="single"/>
    </w:rPr>
  </w:style>
  <w:style w:type="paragraph" w:styleId="Header">
    <w:name w:val="header"/>
    <w:basedOn w:val="Normal"/>
    <w:link w:val="HeaderChar"/>
    <w:uiPriority w:val="99"/>
    <w:unhideWhenUsed/>
    <w:rsid w:val="0070652C"/>
    <w:pPr>
      <w:tabs>
        <w:tab w:val="center" w:pos="4680"/>
        <w:tab w:val="right" w:pos="9360"/>
      </w:tabs>
    </w:pPr>
  </w:style>
  <w:style w:type="character" w:customStyle="1" w:styleId="HeaderChar">
    <w:name w:val="Header Char"/>
    <w:basedOn w:val="DefaultParagraphFont"/>
    <w:link w:val="Header"/>
    <w:uiPriority w:val="99"/>
    <w:rsid w:val="0070652C"/>
  </w:style>
  <w:style w:type="paragraph" w:styleId="Footer">
    <w:name w:val="footer"/>
    <w:basedOn w:val="Normal"/>
    <w:link w:val="FooterChar"/>
    <w:uiPriority w:val="99"/>
    <w:unhideWhenUsed/>
    <w:rsid w:val="0070652C"/>
    <w:pPr>
      <w:tabs>
        <w:tab w:val="center" w:pos="4680"/>
        <w:tab w:val="right" w:pos="9360"/>
      </w:tabs>
    </w:pPr>
  </w:style>
  <w:style w:type="character" w:customStyle="1" w:styleId="FooterChar">
    <w:name w:val="Footer Char"/>
    <w:basedOn w:val="DefaultParagraphFont"/>
    <w:link w:val="Footer"/>
    <w:uiPriority w:val="99"/>
    <w:rsid w:val="0070652C"/>
  </w:style>
  <w:style w:type="character" w:styleId="FollowedHyperlink">
    <w:name w:val="FollowedHyperlink"/>
    <w:basedOn w:val="DefaultParagraphFont"/>
    <w:uiPriority w:val="99"/>
    <w:semiHidden/>
    <w:unhideWhenUsed/>
    <w:rsid w:val="00166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51630">
      <w:bodyDiv w:val="1"/>
      <w:marLeft w:val="0"/>
      <w:marRight w:val="0"/>
      <w:marTop w:val="0"/>
      <w:marBottom w:val="0"/>
      <w:divBdr>
        <w:top w:val="none" w:sz="0" w:space="0" w:color="auto"/>
        <w:left w:val="none" w:sz="0" w:space="0" w:color="auto"/>
        <w:bottom w:val="none" w:sz="0" w:space="0" w:color="auto"/>
        <w:right w:val="none" w:sz="0" w:space="0" w:color="auto"/>
      </w:divBdr>
    </w:div>
    <w:div w:id="618924317">
      <w:bodyDiv w:val="1"/>
      <w:marLeft w:val="0"/>
      <w:marRight w:val="0"/>
      <w:marTop w:val="0"/>
      <w:marBottom w:val="0"/>
      <w:divBdr>
        <w:top w:val="none" w:sz="0" w:space="0" w:color="auto"/>
        <w:left w:val="none" w:sz="0" w:space="0" w:color="auto"/>
        <w:bottom w:val="none" w:sz="0" w:space="0" w:color="auto"/>
        <w:right w:val="none" w:sz="0" w:space="0" w:color="auto"/>
      </w:divBdr>
    </w:div>
    <w:div w:id="679544087">
      <w:bodyDiv w:val="1"/>
      <w:marLeft w:val="0"/>
      <w:marRight w:val="0"/>
      <w:marTop w:val="0"/>
      <w:marBottom w:val="0"/>
      <w:divBdr>
        <w:top w:val="none" w:sz="0" w:space="0" w:color="auto"/>
        <w:left w:val="none" w:sz="0" w:space="0" w:color="auto"/>
        <w:bottom w:val="none" w:sz="0" w:space="0" w:color="auto"/>
        <w:right w:val="none" w:sz="0" w:space="0" w:color="auto"/>
      </w:divBdr>
    </w:div>
    <w:div w:id="1101923129">
      <w:bodyDiv w:val="1"/>
      <w:marLeft w:val="0"/>
      <w:marRight w:val="0"/>
      <w:marTop w:val="0"/>
      <w:marBottom w:val="0"/>
      <w:divBdr>
        <w:top w:val="none" w:sz="0" w:space="0" w:color="auto"/>
        <w:left w:val="none" w:sz="0" w:space="0" w:color="auto"/>
        <w:bottom w:val="none" w:sz="0" w:space="0" w:color="auto"/>
        <w:right w:val="none" w:sz="0" w:space="0" w:color="auto"/>
      </w:divBdr>
    </w:div>
    <w:div w:id="1462504826">
      <w:bodyDiv w:val="1"/>
      <w:marLeft w:val="0"/>
      <w:marRight w:val="0"/>
      <w:marTop w:val="0"/>
      <w:marBottom w:val="0"/>
      <w:divBdr>
        <w:top w:val="none" w:sz="0" w:space="0" w:color="auto"/>
        <w:left w:val="none" w:sz="0" w:space="0" w:color="auto"/>
        <w:bottom w:val="none" w:sz="0" w:space="0" w:color="auto"/>
        <w:right w:val="none" w:sz="0" w:space="0" w:color="auto"/>
      </w:divBdr>
    </w:div>
    <w:div w:id="1808550983">
      <w:bodyDiv w:val="1"/>
      <w:marLeft w:val="0"/>
      <w:marRight w:val="0"/>
      <w:marTop w:val="0"/>
      <w:marBottom w:val="0"/>
      <w:divBdr>
        <w:top w:val="none" w:sz="0" w:space="0" w:color="auto"/>
        <w:left w:val="none" w:sz="0" w:space="0" w:color="auto"/>
        <w:bottom w:val="none" w:sz="0" w:space="0" w:color="auto"/>
        <w:right w:val="none" w:sz="0" w:space="0" w:color="auto"/>
      </w:divBdr>
    </w:div>
    <w:div w:id="1853883615">
      <w:bodyDiv w:val="1"/>
      <w:marLeft w:val="0"/>
      <w:marRight w:val="0"/>
      <w:marTop w:val="0"/>
      <w:marBottom w:val="0"/>
      <w:divBdr>
        <w:top w:val="none" w:sz="0" w:space="0" w:color="auto"/>
        <w:left w:val="none" w:sz="0" w:space="0" w:color="auto"/>
        <w:bottom w:val="none" w:sz="0" w:space="0" w:color="auto"/>
        <w:right w:val="none" w:sz="0" w:space="0" w:color="auto"/>
      </w:divBdr>
    </w:div>
    <w:div w:id="19420584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pp.edu/~class/english-foreign-languages/docs/curriculum-and-roadmaps/spanish-curriculum-map.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pp.edu/~class/english-foreign-languages/about/spanish-learning-outcome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tes.google.com/site/aatspsocal/Home/cal-poly-pomona-april-20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pp.edu/~class/english-foreign-languages/news/SCCUR-2015.shtml" TargetMode="External"/><Relationship Id="rId4" Type="http://schemas.microsoft.com/office/2007/relationships/stylesWithEffects" Target="stylesWithEffects.xml"/><Relationship Id="rId9" Type="http://schemas.openxmlformats.org/officeDocument/2006/relationships/hyperlink" Target="https://www.cpp.edu/~class/english-foreign-languages/students/alumn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1598-966D-4E1C-B394-60404F06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Pinter-Lucke</dc:creator>
  <cp:lastModifiedBy>Owner</cp:lastModifiedBy>
  <cp:revision>3</cp:revision>
  <dcterms:created xsi:type="dcterms:W3CDTF">2016-05-30T01:28:00Z</dcterms:created>
  <dcterms:modified xsi:type="dcterms:W3CDTF">2016-05-30T05:50:00Z</dcterms:modified>
</cp:coreProperties>
</file>